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典当行年审经营情况汇总表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报送单位（公章）：                                                                                                                                        金额单位：万元，笔，人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652"/>
        <w:gridCol w:w="711"/>
        <w:gridCol w:w="600"/>
        <w:gridCol w:w="591"/>
        <w:gridCol w:w="563"/>
        <w:gridCol w:w="609"/>
        <w:gridCol w:w="637"/>
        <w:gridCol w:w="757"/>
        <w:gridCol w:w="581"/>
        <w:gridCol w:w="619"/>
        <w:gridCol w:w="581"/>
        <w:gridCol w:w="730"/>
        <w:gridCol w:w="590"/>
        <w:gridCol w:w="674"/>
        <w:gridCol w:w="656"/>
        <w:gridCol w:w="553"/>
        <w:gridCol w:w="711"/>
        <w:gridCol w:w="619"/>
        <w:gridCol w:w="563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名称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编码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资本</w:t>
            </w:r>
          </w:p>
        </w:tc>
        <w:tc>
          <w:tcPr>
            <w:tcW w:w="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笔数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典当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余额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典当总额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利息及综合费收入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绝当额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上缴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税金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税后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利润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亏损额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人数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年审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结论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小计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动产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房地产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财产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权利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小计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动产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房地产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财产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权利</w:t>
            </w:r>
          </w:p>
        </w:tc>
        <w:tc>
          <w:tcPr>
            <w:tcW w:w="6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合计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注：1.该表由市（州）地方金融工作局汇总填报。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400"/>
        <w:jc w:val="both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2.年审结论填“A”、“B”或“C”。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 xml:space="preserve">        3.典当余额:指本期末典当行应收但尚未收回的当金数额,含绝当未处理部分。这里的“当金”仅指本金，不含应收利息。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 xml:space="preserve">        4.典当总额:指本期典当行在全部典当业务中对所有当户累计发放的当金(同上)数额，包括上年发生但典当期限或者续当期限在本年上半年届满的部分。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 xml:space="preserve">        5.业务笔数:指本期发生的典当业务的总次数,这里的"典当业务"包含典当和续当业务，但不含上年发生本年到期的典当或者续当业务。</w:t>
      </w:r>
    </w:p>
    <w:p>
      <w:pPr/>
    </w:p>
    <w:sectPr>
      <w:footerReference r:id="rId3" w:type="default"/>
      <w:pgSz w:w="16838" w:h="11906" w:orient="landscape"/>
      <w:pgMar w:top="1259" w:right="1644" w:bottom="1134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6C73"/>
    <w:rsid w:val="073329B3"/>
    <w:rsid w:val="14B3135D"/>
    <w:rsid w:val="23537149"/>
    <w:rsid w:val="2AD76C73"/>
    <w:rsid w:val="3927667D"/>
    <w:rsid w:val="4CFF44F1"/>
    <w:rsid w:val="4D0A6113"/>
    <w:rsid w:val="6E4043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2020-06-11T07:00:00Z</dcterms:created>
  <dc:creator>天水</dc:creator>
  <cp:lastModifiedBy>赵晓霞</cp:lastModifiedBy>
  <dcterms:modified xsi:type="dcterms:W3CDTF">2020-07-07T08:09:08Z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