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宋体" w:hAnsi="宋体" w:eastAsia="宋体" w:cs="宋体"/>
          <w:i w:val="0"/>
          <w:iCs w:val="0"/>
          <w:caps w:val="0"/>
          <w:color w:val="333333"/>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宋体" w:hAnsi="宋体" w:eastAsia="宋体" w:cs="宋体"/>
          <w:i w:val="0"/>
          <w:iCs w:val="0"/>
          <w:caps w:val="0"/>
          <w:color w:val="333333"/>
          <w:spacing w:val="0"/>
          <w:sz w:val="36"/>
          <w:szCs w:val="36"/>
          <w:shd w:val="clear" w:fill="FFFFFF"/>
        </w:rPr>
      </w:pPr>
      <w:r>
        <w:rPr>
          <w:rFonts w:hint="eastAsia" w:ascii="宋体" w:hAnsi="宋体" w:eastAsia="宋体" w:cs="宋体"/>
          <w:i w:val="0"/>
          <w:iCs w:val="0"/>
          <w:caps w:val="0"/>
          <w:color w:val="333333"/>
          <w:spacing w:val="0"/>
          <w:sz w:val="36"/>
          <w:szCs w:val="36"/>
          <w:shd w:val="clear" w:fill="FFFFFF"/>
        </w:rPr>
        <w:t>省地方金融监管局202</w:t>
      </w:r>
      <w:r>
        <w:rPr>
          <w:rFonts w:hint="eastAsia" w:cs="宋体"/>
          <w:i w:val="0"/>
          <w:iCs w:val="0"/>
          <w:caps w:val="0"/>
          <w:color w:val="333333"/>
          <w:spacing w:val="0"/>
          <w:sz w:val="36"/>
          <w:szCs w:val="36"/>
          <w:shd w:val="clear" w:fill="FFFFFF"/>
          <w:lang w:val="en-US" w:eastAsia="zh-CN"/>
        </w:rPr>
        <w:t>3</w:t>
      </w:r>
      <w:r>
        <w:rPr>
          <w:rFonts w:hint="eastAsia" w:ascii="宋体" w:hAnsi="宋体" w:eastAsia="宋体" w:cs="宋体"/>
          <w:i w:val="0"/>
          <w:iCs w:val="0"/>
          <w:caps w:val="0"/>
          <w:color w:val="333333"/>
          <w:spacing w:val="0"/>
          <w:sz w:val="36"/>
          <w:szCs w:val="36"/>
          <w:shd w:val="clear" w:fill="FFFFFF"/>
        </w:rPr>
        <w:t>年规范性文件清理说明</w:t>
      </w:r>
    </w:p>
    <w:p>
      <w:pPr>
        <w:tabs>
          <w:tab w:val="left" w:pos="3534"/>
        </w:tabs>
        <w:rPr>
          <w:rFonts w:hint="eastAsia" w:eastAsiaTheme="minorEastAsia"/>
          <w:lang w:eastAsia="zh-CN"/>
        </w:rPr>
      </w:pPr>
      <w:r>
        <w:rPr>
          <w:rFonts w:hint="eastAsia"/>
          <w:lang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578" w:lineRule="atLeast"/>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截至2023年12月13日，省地方金融监管局对202</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年规范性文件进行了认真清理，现将清理结果公布如下:</w:t>
      </w:r>
    </w:p>
    <w:tbl>
      <w:tblPr>
        <w:tblW w:w="10187" w:type="dxa"/>
        <w:jc w:val="center"/>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Layout w:type="fixed"/>
        <w:tblCellMar>
          <w:top w:w="0" w:type="dxa"/>
          <w:left w:w="0" w:type="dxa"/>
          <w:bottom w:w="0" w:type="dxa"/>
          <w:right w:w="0" w:type="dxa"/>
        </w:tblCellMar>
      </w:tblPr>
      <w:tblGrid>
        <w:gridCol w:w="518"/>
        <w:gridCol w:w="1040"/>
        <w:gridCol w:w="3547"/>
        <w:gridCol w:w="1621"/>
        <w:gridCol w:w="869"/>
        <w:gridCol w:w="715"/>
        <w:gridCol w:w="959"/>
        <w:gridCol w:w="918"/>
      </w:tblGrid>
      <w:tr>
        <w:trPr>
          <w:tblHeader/>
          <w:jc w:val="center"/>
        </w:trPr>
        <w:tc>
          <w:tcPr>
            <w:tcW w:w="518" w:type="dxa"/>
            <w:vMerge w:val="restart"/>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b/>
                <w:bCs/>
                <w:sz w:val="24"/>
                <w:szCs w:val="24"/>
              </w:rPr>
            </w:pPr>
            <w:bookmarkStart w:id="0" w:name="_GoBack" w:colFirst="0" w:colLast="7"/>
            <w:r>
              <w:rPr>
                <w:rFonts w:hint="eastAsia" w:ascii="仿宋_GB2312" w:hAnsi="仿宋_GB2312" w:eastAsia="仿宋_GB2312" w:cs="仿宋_GB2312"/>
                <w:b/>
                <w:bCs/>
                <w:kern w:val="0"/>
                <w:sz w:val="24"/>
                <w:szCs w:val="24"/>
                <w:bdr w:val="none" w:color="auto" w:sz="0" w:space="0"/>
                <w:lang w:val="en-US" w:eastAsia="zh-CN" w:bidi="ar"/>
              </w:rPr>
              <w:t>序号</w:t>
            </w:r>
          </w:p>
        </w:tc>
        <w:tc>
          <w:tcPr>
            <w:tcW w:w="1040" w:type="dxa"/>
            <w:vMerge w:val="restart"/>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bdr w:val="none" w:color="auto" w:sz="0" w:space="0"/>
                <w:lang w:val="en-US" w:eastAsia="zh-CN" w:bidi="ar"/>
              </w:rPr>
              <w:t>年份</w:t>
            </w:r>
          </w:p>
        </w:tc>
        <w:tc>
          <w:tcPr>
            <w:tcW w:w="3547" w:type="dxa"/>
            <w:vMerge w:val="restart"/>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bdr w:val="none" w:color="auto" w:sz="0" w:space="0"/>
                <w:lang w:val="en-US" w:eastAsia="zh-CN" w:bidi="ar"/>
              </w:rPr>
              <w:t>规范性文件名称</w:t>
            </w:r>
          </w:p>
        </w:tc>
        <w:tc>
          <w:tcPr>
            <w:tcW w:w="1621" w:type="dxa"/>
            <w:vMerge w:val="restart"/>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bdr w:val="none" w:color="auto" w:sz="0" w:space="0"/>
                <w:lang w:val="en-US" w:eastAsia="zh-CN" w:bidi="ar"/>
              </w:rPr>
              <w:t>文号</w:t>
            </w:r>
          </w:p>
        </w:tc>
        <w:tc>
          <w:tcPr>
            <w:tcW w:w="3461" w:type="dxa"/>
            <w:gridSpan w:val="4"/>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bdr w:val="none" w:color="auto" w:sz="0" w:space="0"/>
                <w:lang w:val="en-US" w:eastAsia="zh-CN" w:bidi="ar"/>
              </w:rPr>
              <w:t>清理结果</w:t>
            </w: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blHeader/>
          <w:jc w:val="center"/>
        </w:trPr>
        <w:tc>
          <w:tcPr>
            <w:tcW w:w="518" w:type="dxa"/>
            <w:vMerge w:val="continue"/>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jc w:val="center"/>
              <w:rPr>
                <w:rFonts w:hint="eastAsia" w:ascii="仿宋_GB2312" w:hAnsi="仿宋_GB2312" w:eastAsia="仿宋_GB2312" w:cs="仿宋_GB2312"/>
                <w:b/>
                <w:bCs/>
                <w:sz w:val="24"/>
                <w:szCs w:val="24"/>
              </w:rPr>
            </w:pPr>
          </w:p>
        </w:tc>
        <w:tc>
          <w:tcPr>
            <w:tcW w:w="1040" w:type="dxa"/>
            <w:vMerge w:val="continue"/>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jc w:val="center"/>
              <w:rPr>
                <w:rFonts w:hint="eastAsia" w:ascii="仿宋_GB2312" w:hAnsi="仿宋_GB2312" w:eastAsia="仿宋_GB2312" w:cs="仿宋_GB2312"/>
                <w:b/>
                <w:bCs/>
                <w:sz w:val="24"/>
                <w:szCs w:val="24"/>
              </w:rPr>
            </w:pPr>
          </w:p>
        </w:tc>
        <w:tc>
          <w:tcPr>
            <w:tcW w:w="3547" w:type="dxa"/>
            <w:vMerge w:val="continue"/>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jc w:val="center"/>
              <w:rPr>
                <w:rFonts w:hint="eastAsia" w:ascii="仿宋_GB2312" w:hAnsi="仿宋_GB2312" w:eastAsia="仿宋_GB2312" w:cs="仿宋_GB2312"/>
                <w:b/>
                <w:bCs/>
                <w:sz w:val="24"/>
                <w:szCs w:val="24"/>
              </w:rPr>
            </w:pPr>
          </w:p>
        </w:tc>
        <w:tc>
          <w:tcPr>
            <w:tcW w:w="1621" w:type="dxa"/>
            <w:vMerge w:val="continue"/>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jc w:val="center"/>
              <w:rPr>
                <w:rFonts w:hint="eastAsia" w:ascii="仿宋_GB2312" w:hAnsi="仿宋_GB2312" w:eastAsia="仿宋_GB2312" w:cs="仿宋_GB2312"/>
                <w:b/>
                <w:bCs/>
                <w:sz w:val="24"/>
                <w:szCs w:val="24"/>
              </w:rPr>
            </w:pP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bdr w:val="none" w:color="auto" w:sz="0" w:space="0"/>
                <w:lang w:val="en-US" w:eastAsia="zh-CN" w:bidi="ar"/>
              </w:rPr>
              <w:t>废止</w:t>
            </w: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bdr w:val="none" w:color="auto" w:sz="0" w:space="0"/>
                <w:lang w:val="en-US" w:eastAsia="zh-CN" w:bidi="ar"/>
              </w:rPr>
              <w:t>宣布失效</w:t>
            </w: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bdr w:val="none" w:color="auto" w:sz="0" w:space="0"/>
                <w:lang w:val="en-US" w:eastAsia="zh-CN" w:bidi="ar"/>
              </w:rPr>
              <w:t>继续有效</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bdr w:val="none" w:color="auto" w:sz="0" w:space="0"/>
                <w:lang w:val="en-US" w:eastAsia="zh-CN" w:bidi="ar"/>
              </w:rPr>
              <w:t>拟修改</w:t>
            </w:r>
          </w:p>
        </w:tc>
      </w:tr>
      <w:bookmarkEnd w:id="0"/>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72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1</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2015</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省人民政府办公厅关于转发湖北省股权质押融资办法的通知</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鄂政办发〔2015〕31号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72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2015</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省人民政府关于印发湖北省交易场所监督管理办法的通知</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鄂政发〔2015〕43号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72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3</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2018</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省人民政府办公厅关于促进区域性股权市场规范创新发展的通知</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鄂政办发〔2018〕30号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72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4</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2019</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《省地方金融监督管理局关于加强地方类金融机构监管工作的意见（试行）》</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鄂金发〔2019〕10号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106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5</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2019</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《省地方金融监督管理局 省市场监督管理局关于进一步明确类金融机构监管有关事项的通知》</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鄂金发〔2019〕13号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106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6</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2019</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湖北省地方金融监督管理局湖北省财政厅关于加快推进政府性融资担保体系建设的意见</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鄂金发﹝2019﹞20号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72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7</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2019</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湖北省融资担保公司设立、变更与退出工作指引</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鄂金发〔2019〕28号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42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8</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2020</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湖北省类金融机构现场检查办法（试行）</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鄂金发〔2020〕4号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106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9</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2020</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湖北省政府性融资担保机构小微企业和“三农”融资担保业务尽职免责工作指引（试行）</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鄂金发〔2020〕6号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72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10</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2020</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《湖北省地方金融监督管理局关于&lt;融资租赁公司监督管理暂行办法&gt;的实施意见》</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鄂金发〔2020〕17号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72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11</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2020</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省地方金融监督管理局关于简化优化融资担保公司设立变更与退出工作的补充通知</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鄂金发〔2020〕21号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92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12</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2020</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湖北省融资担保公司分类监管办法(试行)</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鄂金发〔2020〕27号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72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13</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2021</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《省人民政府关于进一步提升上市公司质量的实施意见》</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鄂政发〔2021〕8号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72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14</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2021</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湖北省地方资产管理公司分类评级暂行办法</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鄂金发〔2021〕3号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72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15</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2021</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湖北省融资担保公司监督管理实施细则（试行）</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鄂金发〔2021〕23号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1421"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16</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2021</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省地方金融监督管理局关于印发《全省小额贷款公司设立、变更及退出操作指引（试行）》《全省典当行设立、变更及退出操作指引（试行）》的通知</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鄂金发〔2021〕24号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72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17</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2022</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《省人民政府办公厅关于印发湖北省科技融资担保体系建设实施方案的通知》</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鄂政办发〔2022〕19号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72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18</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2022</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湖北省政府性融资担保机构融资担保业务反担保设置指引（试行）</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鄂金发〔2022〕5号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1421"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19</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2022</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省地方金融监督管理局关于印发《湖北省小额贷款公司监督管理实施细则（试行）》《湖北省融资租赁公司监督管理实施细则（试行）》的通知</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鄂金发〔2022〕20号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trHeight w:val="1060" w:hRule="atLeast"/>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2023</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省地方金融监督管理局关于印发《湖北省典当行监督管理实施细则（试行）》的通知</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鄂金规〔2023〕1号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r>
        <w:tblPrEx>
          <w:tblBorders>
            <w:top w:val="single" w:color="DDDDDD" w:sz="8" w:space="0"/>
            <w:left w:val="single" w:color="DDDDDD" w:sz="8" w:space="0"/>
            <w:bottom w:val="single" w:color="DDDDDD" w:sz="8" w:space="0"/>
            <w:right w:val="single" w:color="DDDDDD" w:sz="8" w:space="0"/>
            <w:insideH w:val="outset" w:color="auto" w:sz="6" w:space="0"/>
            <w:insideV w:val="outset" w:color="auto" w:sz="6" w:space="0"/>
          </w:tblBorders>
          <w:shd w:val="clear"/>
        </w:tblPrEx>
        <w:trPr>
          <w:jc w:val="center"/>
        </w:trPr>
        <w:tc>
          <w:tcPr>
            <w:tcW w:w="5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21</w:t>
            </w:r>
          </w:p>
        </w:tc>
        <w:tc>
          <w:tcPr>
            <w:tcW w:w="1040"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2023</w:t>
            </w:r>
          </w:p>
        </w:tc>
        <w:tc>
          <w:tcPr>
            <w:tcW w:w="3547"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210" w:beforeAutospacing="0" w:after="210" w:afterAutospacing="0" w:line="29" w:lineRule="atLeast"/>
              <w:ind w:left="0" w:right="0" w:firstLine="4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bdr w:val="none" w:color="auto" w:sz="0" w:space="0"/>
              </w:rPr>
              <w:t>省地方金融监督管理局关于完善湖北省融资担保机构公司治理的指导意见</w:t>
            </w:r>
          </w:p>
        </w:tc>
        <w:tc>
          <w:tcPr>
            <w:tcW w:w="1621"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鄂金发〔2023〕18号</w:t>
            </w:r>
          </w:p>
        </w:tc>
        <w:tc>
          <w:tcPr>
            <w:tcW w:w="86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715"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c>
          <w:tcPr>
            <w:tcW w:w="959"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bdr w:val="none" w:color="auto" w:sz="0" w:space="0"/>
                <w:lang w:val="en-US" w:eastAsia="zh-CN" w:bidi="ar"/>
              </w:rPr>
              <w:t>√</w:t>
            </w:r>
          </w:p>
        </w:tc>
        <w:tc>
          <w:tcPr>
            <w:tcW w:w="918" w:type="dxa"/>
            <w:tcBorders>
              <w:top w:val="single" w:color="808080" w:sz="4" w:space="0"/>
              <w:left w:val="single" w:color="808080" w:sz="4" w:space="0"/>
              <w:bottom w:val="single" w:color="808080" w:sz="4" w:space="0"/>
              <w:right w:val="single" w:color="808080" w:sz="4" w:space="0"/>
            </w:tcBorders>
            <w:shd w:val="clear"/>
            <w:tcMar>
              <w:top w:w="100" w:type="dxa"/>
              <w:left w:w="100" w:type="dxa"/>
              <w:bottom w:w="100" w:type="dxa"/>
              <w:right w:w="100" w:type="dxa"/>
            </w:tcMar>
            <w:vAlign w:val="top"/>
          </w:tcPr>
          <w:p>
            <w:pPr>
              <w:keepNext w:val="0"/>
              <w:keepLines w:val="0"/>
              <w:widowControl/>
              <w:suppressLineNumbers w:val="0"/>
              <w:spacing w:before="0" w:beforeAutospacing="0" w:after="0" w:afterAutospacing="0" w:line="29" w:lineRule="atLeast"/>
              <w:ind w:left="0" w:right="0"/>
              <w:jc w:val="center"/>
              <w:textAlignment w:val="top"/>
              <w:rPr>
                <w:rFonts w:hint="eastAsia" w:ascii="仿宋_GB2312" w:hAnsi="仿宋_GB2312" w:eastAsia="仿宋_GB2312" w:cs="仿宋_GB2312"/>
                <w:sz w:val="24"/>
                <w:szCs w:val="24"/>
              </w:rPr>
            </w:pPr>
          </w:p>
        </w:tc>
      </w:tr>
    </w:tbl>
    <w:p>
      <w:pPr>
        <w:pStyle w:val="6"/>
        <w:keepNext w:val="0"/>
        <w:keepLines w:val="0"/>
        <w:widowControl/>
        <w:suppressLineNumbers w:val="0"/>
        <w:spacing w:line="315" w:lineRule="atLeast"/>
      </w:pPr>
    </w:p>
    <w:p>
      <w:pPr>
        <w:pStyle w:val="6"/>
        <w:keepNext w:val="0"/>
        <w:keepLines w:val="0"/>
        <w:widowControl/>
        <w:suppressLineNumbers w:val="0"/>
        <w:spacing w:line="315" w:lineRule="atLeast"/>
        <w:rPr>
          <w:rFonts w:hint="default" w:eastAsiaTheme="minorEastAsia"/>
          <w:lang w:val="en-US" w:eastAsia="zh-CN"/>
        </w:rPr>
      </w:pPr>
    </w:p>
    <w:sectPr>
      <w:headerReference r:id="rId3" w:type="default"/>
      <w:footerReference r:id="rId4" w:type="default"/>
      <w:type w:val="continuous"/>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Arial">
    <w:panose1 w:val="020B0604020202090204"/>
    <w:charset w:val="00"/>
    <w:family w:val="auto"/>
    <w:pitch w:val="default"/>
    <w:sig w:usb0="E0000AFF" w:usb1="00007843" w:usb2="00000001" w:usb3="00000000" w:csb0="400001BF" w:csb1="DFF70000"/>
  </w:font>
  <w:font w:name="Helvetica Neue">
    <w:panose1 w:val="02000503000000020004"/>
    <w:charset w:val="00"/>
    <w:family w:val="auto"/>
    <w:pitch w:val="default"/>
    <w:sig w:usb0="E50002FF" w:usb1="500079DB" w:usb2="00000010" w:usb3="00000000" w:csb0="00000000" w:csb1="00000000"/>
  </w:font>
  <w:font w:name="DejaVu Sans">
    <w:altName w:val="苹方-简"/>
    <w:panose1 w:val="02020603050405020304"/>
    <w:charset w:val="00"/>
    <w:family w:val="roman"/>
    <w:pitch w:val="default"/>
    <w:sig w:usb0="00000000" w:usb1="00000000" w:usb2="00000008" w:usb3="00000000" w:csb0="000001FF" w:csb1="00000000"/>
  </w:font>
  <w:font w:name="方正黑体_GBK">
    <w:altName w:val="汉仪中黑KW"/>
    <w:panose1 w:val="02000000000000000000"/>
    <w:charset w:val="00"/>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PingFang SC">
    <w:panose1 w:val="020B0400000000000000"/>
    <w:charset w:val="86"/>
    <w:family w:val="auto"/>
    <w:pitch w:val="default"/>
    <w:sig w:usb0="A00002FF" w:usb1="7ACFFDFB" w:usb2="00000017" w:usb3="00000000" w:csb0="00040001"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苹方-简">
    <w:panose1 w:val="020B0400000000000000"/>
    <w:charset w:val="86"/>
    <w:family w:val="auto"/>
    <w:pitch w:val="default"/>
    <w:sig w:usb0="A00002FF" w:usb1="7ACFFDFB" w:usb2="00000017"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湖北省地方金融监督管理局   </w:t>
    </w:r>
  </w:p>
  <w:p>
    <w:pPr>
      <w:pStyle w:val="5"/>
      <w:wordWrap w:val="0"/>
      <w:ind w:left="4788" w:leftChars="2280" w:firstLine="5606"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54.35pt;height:0pt;width:442.55pt;z-index:251659264;mso-width-relative:page;mso-height-relative:page;" filled="f" stroked="t" coordsize="21600,21600" o:gfxdata="UEsFBgAAAAAAAAAAAAAAAAAAAAAAAFBLAwQKAAAAAACHTuJAAAAAAAAAAAAAAAAABAAAAGRycy9Q&#10;SwMEFAAAAAgAh07iQEbsxFT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PFCQZFE+AiO/LO/X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EbsxFT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湖北省</w:t>
    </w:r>
    <w:r>
      <w:rPr>
        <w:rFonts w:hint="eastAsia" w:ascii="宋体" w:hAnsi="宋体" w:eastAsia="宋体" w:cs="宋体"/>
        <w:b/>
        <w:bCs/>
        <w:color w:val="005192"/>
        <w:sz w:val="32"/>
        <w:lang w:val="en-US" w:eastAsia="zh-CN"/>
      </w:rPr>
      <w:t>地方金融监督管理局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51018"/>
    <w:rsid w:val="0A4A1D53"/>
    <w:rsid w:val="0F927B5F"/>
    <w:rsid w:val="16995E19"/>
    <w:rsid w:val="1F2E62C0"/>
    <w:rsid w:val="257E198C"/>
    <w:rsid w:val="3FF955D5"/>
    <w:rsid w:val="4EDDEC94"/>
    <w:rsid w:val="50432779"/>
    <w:rsid w:val="5B981EAA"/>
    <w:rsid w:val="5ED92539"/>
    <w:rsid w:val="61B943E0"/>
    <w:rsid w:val="7BA51018"/>
    <w:rsid w:val="DEE6CFB5"/>
    <w:rsid w:val="FDFA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467</Words>
  <Characters>503</Characters>
  <Lines>0</Lines>
  <Paragraphs>0</Paragraphs>
  <TotalTime>14</TotalTime>
  <ScaleCrop>false</ScaleCrop>
  <LinksUpToDate>false</LinksUpToDate>
  <CharactersWithSpaces>505</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2022-03-28T18:57:00Z</dcterms:created>
  <dc:creator>系统管理员</dc:creator>
  <cp:lastModifiedBy>冷水瓶</cp:lastModifiedBy>
  <dcterms:modified xsi:type="dcterms:W3CDTF">2023-12-18T14:18:24Z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8ACB9E780780FA8916E37F656759B14E_43</vt:lpwstr>
  </property>
</Properties>
</file>