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DE9A" w14:textId="77777777" w:rsidR="00E6457D" w:rsidRDefault="00E6457D" w:rsidP="00E6457D">
      <w:pPr>
        <w:spacing w:line="580" w:lineRule="exac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附件6</w:t>
      </w:r>
    </w:p>
    <w:p w14:paraId="0EB8AB64" w14:textId="77777777" w:rsidR="00E6457D" w:rsidRDefault="00E6457D" w:rsidP="00E6457D">
      <w:pPr>
        <w:spacing w:line="580" w:lineRule="exact"/>
        <w:ind w:firstLineChars="200" w:firstLine="640"/>
        <w:rPr>
          <w:rFonts w:eastAsia="黑体" w:hint="eastAsia"/>
          <w:sz w:val="32"/>
          <w:szCs w:val="32"/>
        </w:rPr>
      </w:pPr>
    </w:p>
    <w:p w14:paraId="5D93CEF4" w14:textId="77777777" w:rsidR="00E6457D" w:rsidRDefault="00E6457D" w:rsidP="00E6457D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业务规则</w:t>
      </w:r>
    </w:p>
    <w:p w14:paraId="0A774641" w14:textId="77777777" w:rsidR="00E6457D" w:rsidRDefault="00E6457D" w:rsidP="00E6457D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主要包括：典当条件、对象及评估，典当的操作程序、典当贷款的审批权限及责任等内容</w:t>
      </w:r>
      <w:r>
        <w:rPr>
          <w:rFonts w:eastAsia="仿宋_GB2312" w:hint="eastAsia"/>
          <w:sz w:val="32"/>
          <w:szCs w:val="32"/>
        </w:rPr>
        <w:t>。</w:t>
      </w:r>
    </w:p>
    <w:p w14:paraId="1CCED666" w14:textId="77777777" w:rsidR="00E6457D" w:rsidRDefault="00E6457D" w:rsidP="00E6457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14:paraId="4603D607" w14:textId="77777777" w:rsidR="00E6457D" w:rsidRDefault="00E6457D" w:rsidP="00E6457D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ascii="Times New Roman" w:eastAsia="黑体" w:hAnsi="Times New Roman"/>
          <w:sz w:val="32"/>
          <w:szCs w:val="32"/>
        </w:rPr>
        <w:t>内部管理制度</w:t>
      </w:r>
    </w:p>
    <w:p w14:paraId="1C36B59E" w14:textId="77777777" w:rsidR="00E6457D" w:rsidRDefault="00E6457D" w:rsidP="00E6457D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：1.收当、续当、赎当查验管理制度；2.典当业务操作流程；3.绝当物品管理制度；4.当物查验保管、库房保管制度；5.通缉协查核对、可疑情况报告制度；6.财务会计制度、内部审计制度；7.典当行组织机构及岗位工作职责；8.重要空白凭证管理制度；9.其他需要建立的制度。</w:t>
      </w:r>
    </w:p>
    <w:p w14:paraId="79E23786" w14:textId="77777777" w:rsidR="00E6457D" w:rsidRDefault="00E6457D" w:rsidP="00E6457D">
      <w:pPr>
        <w:spacing w:line="58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</w:p>
    <w:p w14:paraId="76791AAB" w14:textId="77777777" w:rsidR="00E6457D" w:rsidRDefault="00E6457D" w:rsidP="00E6457D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安全防范措施</w:t>
      </w:r>
    </w:p>
    <w:p w14:paraId="1F01103A" w14:textId="77777777" w:rsidR="00E6457D" w:rsidRDefault="00E6457D" w:rsidP="00E6457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主要包括：安全保卫制度；消防管理制度；安全制度及安全防范措施；配备保安人员制度；设计方案图纸（视频监控及报警系统工作平面图、视频监控报警系统清单等）</w:t>
      </w:r>
    </w:p>
    <w:p w14:paraId="06D84F86" w14:textId="77777777" w:rsidR="00E6457D" w:rsidRDefault="00E6457D" w:rsidP="00E6457D">
      <w:pPr>
        <w:spacing w:line="580" w:lineRule="exact"/>
        <w:rPr>
          <w:rFonts w:ascii="Times New Roman" w:hAnsi="Times New Roman"/>
        </w:rPr>
      </w:pPr>
    </w:p>
    <w:p w14:paraId="336F81FA" w14:textId="77777777" w:rsidR="00E6457D" w:rsidRDefault="00E6457D" w:rsidP="00E6457D">
      <w:pPr>
        <w:snapToGrid w:val="0"/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9908363" w14:textId="77777777" w:rsidR="00FC1951" w:rsidRPr="00E6457D" w:rsidRDefault="00E6457D" w:rsidP="00E6457D"/>
    <w:sectPr w:rsidR="00FC1951" w:rsidRPr="00E6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93485D"/>
    <w:rsid w:val="00BA7877"/>
    <w:rsid w:val="00E6457D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2021-10-13T01:13:00Z</dcterms:created>
  <dcterms:modified xsi:type="dcterms:W3CDTF">2021-10-13T01:13:00Z</dcterms:modified>
</cp:coreProperties>
</file>